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0"/>
        <w:gridCol w:w="1188"/>
        <w:gridCol w:w="540"/>
        <w:gridCol w:w="5004"/>
        <w:gridCol w:w="1728"/>
      </w:tblGrid>
      <w:tr w:rsidR="001100FD" w:rsidRPr="00F428E0" w:rsidTr="001C5769">
        <w:tblPrEx>
          <w:tblCellMar>
            <w:top w:w="0" w:type="dxa"/>
            <w:bottom w:w="0" w:type="dxa"/>
          </w:tblCellMar>
        </w:tblPrEx>
        <w:tc>
          <w:tcPr>
            <w:tcW w:w="1728" w:type="dxa"/>
            <w:gridSpan w:val="2"/>
          </w:tcPr>
          <w:p w:rsidR="001100FD" w:rsidRPr="00F428E0" w:rsidRDefault="001100FD" w:rsidP="001C5769">
            <w:pPr>
              <w:rPr>
                <w:rFonts w:ascii="Calibri" w:hAnsi="Calibri" w:cs="Arial"/>
                <w:b/>
                <w:sz w:val="22"/>
              </w:rPr>
            </w:pPr>
            <w:r w:rsidRPr="00F428E0">
              <w:rPr>
                <w:rFonts w:ascii="Calibri" w:hAnsi="Calibri" w:cs="Arial"/>
                <w:b/>
                <w:sz w:val="22"/>
              </w:rPr>
              <w:t>WHEREAS</w:t>
            </w:r>
          </w:p>
        </w:tc>
        <w:tc>
          <w:tcPr>
            <w:tcW w:w="540" w:type="dxa"/>
          </w:tcPr>
          <w:p w:rsidR="001100FD" w:rsidRPr="00F428E0" w:rsidRDefault="001100FD" w:rsidP="001C5769">
            <w:pPr>
              <w:rPr>
                <w:rFonts w:ascii="Calibri" w:hAnsi="Calibri" w:cs="Arial"/>
                <w:sz w:val="22"/>
              </w:rPr>
            </w:pPr>
          </w:p>
        </w:tc>
        <w:tc>
          <w:tcPr>
            <w:tcW w:w="6732" w:type="dxa"/>
            <w:gridSpan w:val="2"/>
          </w:tcPr>
          <w:p w:rsidR="001100FD" w:rsidRPr="00F428E0" w:rsidRDefault="001100FD" w:rsidP="001C5769">
            <w:pPr>
              <w:jc w:val="both"/>
              <w:rPr>
                <w:rFonts w:ascii="Calibri" w:hAnsi="Calibri" w:cs="Arial"/>
                <w:sz w:val="22"/>
              </w:rPr>
            </w:pPr>
            <w:r w:rsidRPr="00F428E0">
              <w:rPr>
                <w:rFonts w:ascii="Calibri" w:hAnsi="Calibri" w:cs="Arial"/>
                <w:sz w:val="22"/>
              </w:rPr>
              <w:t>The Mecklenburg Power Station is located on 19 acres near Clarksville, Virginia and produces enough electricity to power about 34,500 homes, using coal as its fuel source, and;</w:t>
            </w:r>
          </w:p>
        </w:tc>
      </w:tr>
      <w:tr w:rsidR="001100FD" w:rsidRPr="00F428E0" w:rsidTr="001C5769">
        <w:tblPrEx>
          <w:tblCellMar>
            <w:top w:w="0" w:type="dxa"/>
            <w:bottom w:w="0" w:type="dxa"/>
          </w:tblCellMar>
        </w:tblPrEx>
        <w:trPr>
          <w:gridAfter w:val="1"/>
          <w:wAfter w:w="1728" w:type="dxa"/>
        </w:trPr>
        <w:tc>
          <w:tcPr>
            <w:tcW w:w="540" w:type="dxa"/>
          </w:tcPr>
          <w:p w:rsidR="001100FD" w:rsidRPr="00F428E0" w:rsidRDefault="001100FD" w:rsidP="001C5769">
            <w:pPr>
              <w:rPr>
                <w:rFonts w:ascii="Calibri" w:hAnsi="Calibri" w:cs="Arial"/>
                <w:sz w:val="22"/>
              </w:rPr>
            </w:pPr>
          </w:p>
        </w:tc>
        <w:tc>
          <w:tcPr>
            <w:tcW w:w="6732" w:type="dxa"/>
            <w:gridSpan w:val="3"/>
          </w:tcPr>
          <w:p w:rsidR="001100FD" w:rsidRPr="00F428E0" w:rsidRDefault="001100FD" w:rsidP="001C5769">
            <w:pPr>
              <w:jc w:val="both"/>
              <w:rPr>
                <w:rFonts w:ascii="Calibri" w:hAnsi="Calibri" w:cs="Arial"/>
                <w:sz w:val="22"/>
              </w:rPr>
            </w:pPr>
          </w:p>
        </w:tc>
      </w:tr>
      <w:tr w:rsidR="001100FD" w:rsidRPr="00F428E0" w:rsidTr="001C5769">
        <w:tblPrEx>
          <w:tblCellMar>
            <w:top w:w="0" w:type="dxa"/>
            <w:bottom w:w="0" w:type="dxa"/>
          </w:tblCellMar>
        </w:tblPrEx>
        <w:tc>
          <w:tcPr>
            <w:tcW w:w="1728" w:type="dxa"/>
            <w:gridSpan w:val="2"/>
          </w:tcPr>
          <w:p w:rsidR="001100FD" w:rsidRPr="00F428E0" w:rsidRDefault="001100FD" w:rsidP="001C5769">
            <w:pPr>
              <w:rPr>
                <w:rFonts w:ascii="Calibri" w:hAnsi="Calibri" w:cs="Arial"/>
                <w:b/>
                <w:sz w:val="22"/>
              </w:rPr>
            </w:pPr>
            <w:r w:rsidRPr="00F428E0">
              <w:rPr>
                <w:rFonts w:ascii="Calibri" w:hAnsi="Calibri" w:cs="Arial"/>
                <w:b/>
                <w:sz w:val="22"/>
              </w:rPr>
              <w:t>WHEREAS</w:t>
            </w:r>
          </w:p>
        </w:tc>
        <w:tc>
          <w:tcPr>
            <w:tcW w:w="540" w:type="dxa"/>
          </w:tcPr>
          <w:p w:rsidR="001100FD" w:rsidRPr="00F428E0" w:rsidRDefault="001100FD" w:rsidP="001C5769">
            <w:pPr>
              <w:rPr>
                <w:rFonts w:ascii="Calibri" w:hAnsi="Calibri" w:cs="Arial"/>
                <w:sz w:val="22"/>
              </w:rPr>
            </w:pPr>
          </w:p>
        </w:tc>
        <w:tc>
          <w:tcPr>
            <w:tcW w:w="6732" w:type="dxa"/>
            <w:gridSpan w:val="2"/>
          </w:tcPr>
          <w:p w:rsidR="001100FD" w:rsidRPr="00F428E0" w:rsidRDefault="001100FD" w:rsidP="001C5769">
            <w:pPr>
              <w:jc w:val="both"/>
              <w:rPr>
                <w:rFonts w:ascii="Calibri" w:hAnsi="Calibri" w:cs="Arial"/>
                <w:sz w:val="22"/>
              </w:rPr>
            </w:pPr>
            <w:r w:rsidRPr="00F428E0">
              <w:rPr>
                <w:rFonts w:ascii="Calibri" w:hAnsi="Calibri" w:cs="Arial"/>
                <w:sz w:val="22"/>
              </w:rPr>
              <w:t xml:space="preserve">Dominion </w:t>
            </w:r>
            <w:r>
              <w:rPr>
                <w:rFonts w:ascii="Calibri" w:hAnsi="Calibri" w:cs="Arial"/>
                <w:sz w:val="22"/>
              </w:rPr>
              <w:t>Power h</w:t>
            </w:r>
            <w:r w:rsidRPr="00F428E0">
              <w:rPr>
                <w:rFonts w:ascii="Calibri" w:hAnsi="Calibri" w:cs="Arial"/>
                <w:sz w:val="22"/>
              </w:rPr>
              <w:t>as advised of the possibility of closing this facility located in the County of Mecklenburg as par</w:t>
            </w:r>
            <w:r>
              <w:rPr>
                <w:rFonts w:ascii="Calibri" w:hAnsi="Calibri" w:cs="Arial"/>
                <w:sz w:val="22"/>
              </w:rPr>
              <w:t>t</w:t>
            </w:r>
            <w:r w:rsidRPr="00F428E0">
              <w:rPr>
                <w:rFonts w:ascii="Calibri" w:hAnsi="Calibri" w:cs="Arial"/>
                <w:sz w:val="22"/>
              </w:rPr>
              <w:t xml:space="preserve"> of its plans to comply with the EPA’s Clean Power Plan, and;</w:t>
            </w:r>
          </w:p>
        </w:tc>
      </w:tr>
      <w:tr w:rsidR="001100FD" w:rsidRPr="00F428E0" w:rsidTr="001C5769">
        <w:tblPrEx>
          <w:tblCellMar>
            <w:top w:w="0" w:type="dxa"/>
            <w:bottom w:w="0" w:type="dxa"/>
          </w:tblCellMar>
        </w:tblPrEx>
        <w:tc>
          <w:tcPr>
            <w:tcW w:w="1728" w:type="dxa"/>
            <w:gridSpan w:val="2"/>
          </w:tcPr>
          <w:p w:rsidR="001100FD" w:rsidRPr="00F428E0" w:rsidRDefault="001100FD" w:rsidP="001C5769">
            <w:pPr>
              <w:rPr>
                <w:rFonts w:ascii="Calibri" w:hAnsi="Calibri" w:cs="Arial"/>
                <w:b/>
                <w:sz w:val="22"/>
              </w:rPr>
            </w:pPr>
          </w:p>
        </w:tc>
        <w:tc>
          <w:tcPr>
            <w:tcW w:w="540" w:type="dxa"/>
          </w:tcPr>
          <w:p w:rsidR="001100FD" w:rsidRPr="00F428E0" w:rsidRDefault="001100FD" w:rsidP="001C5769">
            <w:pPr>
              <w:rPr>
                <w:rFonts w:ascii="Calibri" w:hAnsi="Calibri" w:cs="Arial"/>
                <w:sz w:val="22"/>
              </w:rPr>
            </w:pPr>
          </w:p>
        </w:tc>
        <w:tc>
          <w:tcPr>
            <w:tcW w:w="6732" w:type="dxa"/>
            <w:gridSpan w:val="2"/>
          </w:tcPr>
          <w:p w:rsidR="001100FD" w:rsidRPr="00F428E0" w:rsidRDefault="001100FD" w:rsidP="001C5769">
            <w:pPr>
              <w:jc w:val="both"/>
              <w:rPr>
                <w:rFonts w:ascii="Calibri" w:hAnsi="Calibri" w:cs="Arial"/>
                <w:sz w:val="22"/>
              </w:rPr>
            </w:pPr>
          </w:p>
        </w:tc>
      </w:tr>
      <w:tr w:rsidR="001100FD" w:rsidRPr="00F428E0" w:rsidTr="001C5769">
        <w:tblPrEx>
          <w:tblCellMar>
            <w:top w:w="0" w:type="dxa"/>
            <w:bottom w:w="0" w:type="dxa"/>
          </w:tblCellMar>
        </w:tblPrEx>
        <w:tc>
          <w:tcPr>
            <w:tcW w:w="1728" w:type="dxa"/>
            <w:gridSpan w:val="2"/>
          </w:tcPr>
          <w:p w:rsidR="001100FD" w:rsidRPr="00F428E0" w:rsidRDefault="001100FD" w:rsidP="001C5769">
            <w:pPr>
              <w:rPr>
                <w:rFonts w:ascii="Calibri" w:hAnsi="Calibri" w:cs="Arial"/>
                <w:b/>
                <w:sz w:val="22"/>
              </w:rPr>
            </w:pPr>
            <w:r w:rsidRPr="00F428E0">
              <w:rPr>
                <w:rFonts w:ascii="Calibri" w:hAnsi="Calibri" w:cs="Arial"/>
                <w:b/>
                <w:sz w:val="22"/>
              </w:rPr>
              <w:t>WHEREAS</w:t>
            </w:r>
          </w:p>
        </w:tc>
        <w:tc>
          <w:tcPr>
            <w:tcW w:w="540" w:type="dxa"/>
          </w:tcPr>
          <w:p w:rsidR="001100FD" w:rsidRPr="00F428E0" w:rsidRDefault="001100FD" w:rsidP="001C5769">
            <w:pPr>
              <w:rPr>
                <w:rFonts w:ascii="Calibri" w:hAnsi="Calibri" w:cs="Arial"/>
                <w:sz w:val="22"/>
              </w:rPr>
            </w:pPr>
          </w:p>
        </w:tc>
        <w:tc>
          <w:tcPr>
            <w:tcW w:w="6732" w:type="dxa"/>
            <w:gridSpan w:val="2"/>
          </w:tcPr>
          <w:p w:rsidR="001100FD" w:rsidRPr="00F428E0" w:rsidRDefault="001100FD" w:rsidP="001C5769">
            <w:pPr>
              <w:jc w:val="both"/>
              <w:rPr>
                <w:rFonts w:ascii="Calibri" w:hAnsi="Calibri" w:cs="Arial"/>
                <w:sz w:val="22"/>
              </w:rPr>
            </w:pPr>
            <w:r w:rsidRPr="00F428E0">
              <w:rPr>
                <w:rFonts w:ascii="Calibri" w:hAnsi="Calibri" w:cs="Arial"/>
                <w:sz w:val="22"/>
              </w:rPr>
              <w:t>The Mecklenburg Power Station, which began service in 1992, and has a 2014 assessed value of $94,622,993.00, and;</w:t>
            </w:r>
          </w:p>
        </w:tc>
      </w:tr>
      <w:tr w:rsidR="001100FD" w:rsidRPr="00F428E0" w:rsidTr="001C5769">
        <w:tblPrEx>
          <w:tblCellMar>
            <w:top w:w="0" w:type="dxa"/>
            <w:bottom w:w="0" w:type="dxa"/>
          </w:tblCellMar>
        </w:tblPrEx>
        <w:tc>
          <w:tcPr>
            <w:tcW w:w="1728" w:type="dxa"/>
            <w:gridSpan w:val="2"/>
          </w:tcPr>
          <w:p w:rsidR="001100FD" w:rsidRPr="00F428E0" w:rsidRDefault="001100FD" w:rsidP="001C5769">
            <w:pPr>
              <w:rPr>
                <w:rFonts w:ascii="Calibri" w:hAnsi="Calibri" w:cs="Arial"/>
                <w:b/>
                <w:sz w:val="22"/>
              </w:rPr>
            </w:pPr>
          </w:p>
        </w:tc>
        <w:tc>
          <w:tcPr>
            <w:tcW w:w="540" w:type="dxa"/>
          </w:tcPr>
          <w:p w:rsidR="001100FD" w:rsidRPr="00F428E0" w:rsidRDefault="001100FD" w:rsidP="001C5769">
            <w:pPr>
              <w:rPr>
                <w:rFonts w:ascii="Calibri" w:hAnsi="Calibri" w:cs="Arial"/>
                <w:sz w:val="22"/>
              </w:rPr>
            </w:pPr>
          </w:p>
        </w:tc>
        <w:tc>
          <w:tcPr>
            <w:tcW w:w="6732" w:type="dxa"/>
            <w:gridSpan w:val="2"/>
          </w:tcPr>
          <w:p w:rsidR="001100FD" w:rsidRPr="00F428E0" w:rsidRDefault="001100FD" w:rsidP="001C5769">
            <w:pPr>
              <w:jc w:val="both"/>
              <w:rPr>
                <w:rFonts w:ascii="Calibri" w:hAnsi="Calibri" w:cs="Arial"/>
                <w:sz w:val="22"/>
              </w:rPr>
            </w:pPr>
          </w:p>
        </w:tc>
      </w:tr>
      <w:tr w:rsidR="001100FD" w:rsidRPr="00F428E0" w:rsidTr="001C5769">
        <w:tblPrEx>
          <w:tblCellMar>
            <w:top w:w="0" w:type="dxa"/>
            <w:bottom w:w="0" w:type="dxa"/>
          </w:tblCellMar>
        </w:tblPrEx>
        <w:tc>
          <w:tcPr>
            <w:tcW w:w="1728" w:type="dxa"/>
            <w:gridSpan w:val="2"/>
          </w:tcPr>
          <w:p w:rsidR="001100FD" w:rsidRPr="00F428E0" w:rsidRDefault="001100FD" w:rsidP="001C5769">
            <w:pPr>
              <w:rPr>
                <w:rFonts w:ascii="Calibri" w:hAnsi="Calibri" w:cs="Arial"/>
                <w:b/>
                <w:sz w:val="22"/>
              </w:rPr>
            </w:pPr>
            <w:r w:rsidRPr="00F428E0">
              <w:rPr>
                <w:rFonts w:ascii="Calibri" w:hAnsi="Calibri" w:cs="Arial"/>
                <w:b/>
                <w:sz w:val="22"/>
              </w:rPr>
              <w:t>WHEREAS</w:t>
            </w: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r w:rsidRPr="00F428E0">
              <w:rPr>
                <w:rFonts w:ascii="Calibri" w:hAnsi="Calibri" w:cs="Arial"/>
                <w:b/>
                <w:sz w:val="22"/>
              </w:rPr>
              <w:t>WHEREAS</w:t>
            </w: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p>
          <w:p w:rsidR="001100FD" w:rsidRDefault="001100FD" w:rsidP="001C5769">
            <w:pPr>
              <w:rPr>
                <w:rFonts w:ascii="Calibri" w:hAnsi="Calibri" w:cs="Arial"/>
                <w:b/>
                <w:sz w:val="22"/>
              </w:rPr>
            </w:pPr>
          </w:p>
          <w:p w:rsidR="001100FD" w:rsidRPr="00F428E0" w:rsidRDefault="001100FD" w:rsidP="001C5769">
            <w:pPr>
              <w:rPr>
                <w:rFonts w:ascii="Calibri" w:hAnsi="Calibri" w:cs="Arial"/>
                <w:b/>
                <w:sz w:val="22"/>
              </w:rPr>
            </w:pPr>
            <w:r w:rsidRPr="00F428E0">
              <w:rPr>
                <w:rFonts w:ascii="Calibri" w:hAnsi="Calibri" w:cs="Arial"/>
                <w:b/>
                <w:sz w:val="22"/>
              </w:rPr>
              <w:t>WHEREAS</w:t>
            </w: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r w:rsidRPr="00F428E0">
              <w:rPr>
                <w:rFonts w:ascii="Calibri" w:hAnsi="Calibri" w:cs="Arial"/>
                <w:b/>
                <w:sz w:val="22"/>
              </w:rPr>
              <w:t>WHEREAS</w:t>
            </w: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p>
          <w:p w:rsidR="001100FD" w:rsidRPr="00F428E0" w:rsidRDefault="001100FD" w:rsidP="001C5769">
            <w:pPr>
              <w:rPr>
                <w:rFonts w:ascii="Calibri" w:hAnsi="Calibri" w:cs="Arial"/>
                <w:b/>
                <w:sz w:val="22"/>
              </w:rPr>
            </w:pPr>
          </w:p>
        </w:tc>
        <w:tc>
          <w:tcPr>
            <w:tcW w:w="540" w:type="dxa"/>
          </w:tcPr>
          <w:p w:rsidR="001100FD" w:rsidRPr="00F428E0" w:rsidRDefault="001100FD" w:rsidP="001C5769">
            <w:pPr>
              <w:rPr>
                <w:rFonts w:ascii="Calibri" w:hAnsi="Calibri" w:cs="Arial"/>
                <w:sz w:val="22"/>
              </w:rPr>
            </w:pPr>
          </w:p>
        </w:tc>
        <w:tc>
          <w:tcPr>
            <w:tcW w:w="6732" w:type="dxa"/>
            <w:gridSpan w:val="2"/>
          </w:tcPr>
          <w:p w:rsidR="001100FD" w:rsidRPr="00F428E0" w:rsidRDefault="001100FD" w:rsidP="001C5769">
            <w:pPr>
              <w:jc w:val="both"/>
              <w:rPr>
                <w:rFonts w:ascii="Calibri" w:hAnsi="Calibri" w:cs="Arial"/>
                <w:sz w:val="22"/>
              </w:rPr>
            </w:pPr>
            <w:r w:rsidRPr="00F428E0">
              <w:rPr>
                <w:rFonts w:ascii="Calibri" w:hAnsi="Calibri" w:cs="Arial"/>
                <w:sz w:val="22"/>
              </w:rPr>
              <w:t xml:space="preserve">The plant’s shutdown would cost Mecklenburg County nearly $380,000.00 in  annual lost tax revenue, based on current tax rates, and; </w:t>
            </w:r>
          </w:p>
          <w:p w:rsidR="001100FD" w:rsidRPr="00F428E0" w:rsidRDefault="001100FD" w:rsidP="001C5769">
            <w:pPr>
              <w:jc w:val="both"/>
              <w:rPr>
                <w:rFonts w:ascii="Calibri" w:hAnsi="Calibri" w:cs="Arial"/>
                <w:sz w:val="22"/>
              </w:rPr>
            </w:pPr>
          </w:p>
          <w:p w:rsidR="001100FD" w:rsidRPr="00F428E0" w:rsidRDefault="001100FD" w:rsidP="001C5769">
            <w:pPr>
              <w:jc w:val="both"/>
              <w:rPr>
                <w:rFonts w:ascii="Calibri" w:hAnsi="Calibri" w:cs="Arial"/>
                <w:sz w:val="22"/>
              </w:rPr>
            </w:pPr>
            <w:r w:rsidRPr="00F428E0">
              <w:rPr>
                <w:rFonts w:ascii="Calibri" w:hAnsi="Calibri" w:cs="Arial"/>
                <w:sz w:val="22"/>
              </w:rPr>
              <w:t>The facility employs approximately 70 individuals with an annual salary well above the medium income for our area, and has compiled a stellar environmental record over its 23 years of operation, and;</w:t>
            </w:r>
          </w:p>
          <w:p w:rsidR="001100FD" w:rsidRPr="00F428E0" w:rsidRDefault="001100FD" w:rsidP="001C5769">
            <w:pPr>
              <w:jc w:val="both"/>
              <w:rPr>
                <w:rFonts w:ascii="Calibri" w:hAnsi="Calibri" w:cs="Arial"/>
                <w:sz w:val="22"/>
              </w:rPr>
            </w:pPr>
          </w:p>
          <w:p w:rsidR="001100FD" w:rsidRPr="00F428E0" w:rsidRDefault="001100FD" w:rsidP="001C5769">
            <w:pPr>
              <w:jc w:val="both"/>
              <w:rPr>
                <w:rFonts w:ascii="Calibri" w:hAnsi="Calibri" w:cs="Arial"/>
                <w:sz w:val="22"/>
              </w:rPr>
            </w:pPr>
            <w:r w:rsidRPr="00F428E0">
              <w:rPr>
                <w:rFonts w:ascii="Calibri" w:hAnsi="Calibri" w:cs="Arial"/>
                <w:sz w:val="22"/>
              </w:rPr>
              <w:t>The use of the rail line to supply the coal needed for the power plant has kept the last rail line in Mecklenburg County in operation since 1990, and;</w:t>
            </w:r>
          </w:p>
          <w:p w:rsidR="001100FD" w:rsidRPr="00F428E0" w:rsidRDefault="001100FD" w:rsidP="001C5769">
            <w:pPr>
              <w:jc w:val="both"/>
              <w:rPr>
                <w:rFonts w:ascii="Calibri" w:hAnsi="Calibri" w:cs="Arial"/>
                <w:sz w:val="22"/>
              </w:rPr>
            </w:pPr>
          </w:p>
          <w:p w:rsidR="001100FD" w:rsidRPr="00F428E0" w:rsidRDefault="001100FD" w:rsidP="001C5769">
            <w:pPr>
              <w:jc w:val="both"/>
              <w:rPr>
                <w:rFonts w:ascii="Calibri" w:hAnsi="Calibri" w:cs="Arial"/>
                <w:sz w:val="22"/>
              </w:rPr>
            </w:pPr>
            <w:r w:rsidRPr="00F428E0">
              <w:rPr>
                <w:rFonts w:ascii="Calibri" w:hAnsi="Calibri" w:cs="Arial"/>
                <w:sz w:val="22"/>
              </w:rPr>
              <w:t xml:space="preserve">The loss of this plant will have a direct negative impact on the economic development of the Town of Clarksville and Mecklenburg County and will hurt the Town of Clarksville and Mecklenburg County as it climbs out of the recession. </w:t>
            </w:r>
          </w:p>
        </w:tc>
      </w:tr>
    </w:tbl>
    <w:p w:rsidR="001100FD" w:rsidRPr="00F428E0" w:rsidRDefault="001100FD" w:rsidP="001100FD">
      <w:pPr>
        <w:rPr>
          <w:rFonts w:ascii="Calibri" w:hAnsi="Calibri" w:cs="Arial"/>
          <w:sz w:val="22"/>
        </w:rPr>
      </w:pPr>
    </w:p>
    <w:tbl>
      <w:tblPr>
        <w:tblW w:w="0" w:type="auto"/>
        <w:tblLook w:val="0000"/>
      </w:tblPr>
      <w:tblGrid>
        <w:gridCol w:w="2268"/>
        <w:gridCol w:w="6732"/>
      </w:tblGrid>
      <w:tr w:rsidR="001100FD" w:rsidRPr="00F428E0" w:rsidTr="001C5769">
        <w:tblPrEx>
          <w:tblCellMar>
            <w:top w:w="0" w:type="dxa"/>
            <w:bottom w:w="0" w:type="dxa"/>
          </w:tblCellMar>
        </w:tblPrEx>
        <w:tc>
          <w:tcPr>
            <w:tcW w:w="2268" w:type="dxa"/>
          </w:tcPr>
          <w:p w:rsidR="001100FD" w:rsidRPr="00F428E0" w:rsidRDefault="001100FD" w:rsidP="001C5769">
            <w:pPr>
              <w:rPr>
                <w:rFonts w:ascii="Calibri" w:hAnsi="Calibri" w:cs="Arial"/>
                <w:b/>
                <w:sz w:val="22"/>
              </w:rPr>
            </w:pPr>
            <w:r w:rsidRPr="00F428E0">
              <w:rPr>
                <w:rFonts w:ascii="Calibri" w:hAnsi="Calibri" w:cs="Arial"/>
                <w:b/>
                <w:sz w:val="22"/>
              </w:rPr>
              <w:t>NOW, LET IT BE RESOLVED</w:t>
            </w:r>
          </w:p>
        </w:tc>
        <w:tc>
          <w:tcPr>
            <w:tcW w:w="6732" w:type="dxa"/>
          </w:tcPr>
          <w:p w:rsidR="001100FD" w:rsidRPr="00F428E0" w:rsidRDefault="001100FD" w:rsidP="001C5769">
            <w:pPr>
              <w:jc w:val="both"/>
              <w:rPr>
                <w:rFonts w:ascii="Calibri" w:hAnsi="Calibri" w:cs="Arial"/>
                <w:sz w:val="22"/>
              </w:rPr>
            </w:pPr>
          </w:p>
          <w:p w:rsidR="001100FD" w:rsidRPr="00F428E0" w:rsidRDefault="001100FD" w:rsidP="001C5769">
            <w:pPr>
              <w:jc w:val="both"/>
              <w:rPr>
                <w:rFonts w:ascii="Calibri" w:hAnsi="Calibri" w:cs="Arial"/>
                <w:sz w:val="22"/>
              </w:rPr>
            </w:pPr>
            <w:r w:rsidRPr="00F428E0">
              <w:rPr>
                <w:rFonts w:ascii="Calibri" w:hAnsi="Calibri" w:cs="Arial"/>
                <w:sz w:val="22"/>
              </w:rPr>
              <w:t xml:space="preserve">That the Town Council for the Town of Clarksville does hereby go on record opposing the proposed closure of the Mecklenburg Power Station by Dominion Power. </w:t>
            </w:r>
          </w:p>
        </w:tc>
      </w:tr>
    </w:tbl>
    <w:p w:rsidR="009A14F3" w:rsidRDefault="001100FD"/>
    <w:p w:rsidR="001100FD" w:rsidRPr="00F428E0" w:rsidRDefault="001100FD" w:rsidP="001100FD">
      <w:pPr>
        <w:rPr>
          <w:rFonts w:ascii="Calibri" w:hAnsi="Calibri" w:cs="Arial"/>
          <w:b/>
          <w:sz w:val="20"/>
          <w:szCs w:val="20"/>
        </w:rPr>
      </w:pPr>
      <w:r w:rsidRPr="00F428E0">
        <w:rPr>
          <w:rFonts w:ascii="Calibri" w:hAnsi="Calibri" w:cs="Arial"/>
          <w:b/>
          <w:sz w:val="20"/>
          <w:szCs w:val="20"/>
        </w:rPr>
        <w:t>Attest:</w:t>
      </w:r>
    </w:p>
    <w:p w:rsidR="001100FD" w:rsidRPr="00F428E0" w:rsidRDefault="001100FD" w:rsidP="001100FD">
      <w:pPr>
        <w:rPr>
          <w:rFonts w:ascii="Calibri" w:hAnsi="Calibri" w:cs="Arial"/>
          <w:b/>
          <w:sz w:val="20"/>
          <w:szCs w:val="20"/>
        </w:rPr>
      </w:pPr>
      <w:r w:rsidRPr="00F428E0">
        <w:rPr>
          <w:rFonts w:ascii="Calibri" w:hAnsi="Calibri" w:cs="Arial"/>
          <w:b/>
          <w:sz w:val="20"/>
          <w:szCs w:val="20"/>
        </w:rPr>
        <w:t>Adopted this 15</w:t>
      </w:r>
      <w:r w:rsidRPr="00F428E0">
        <w:rPr>
          <w:rFonts w:ascii="Calibri" w:hAnsi="Calibri" w:cs="Arial"/>
          <w:b/>
          <w:sz w:val="20"/>
          <w:szCs w:val="20"/>
          <w:vertAlign w:val="superscript"/>
        </w:rPr>
        <w:t>st</w:t>
      </w:r>
      <w:r w:rsidRPr="00F428E0">
        <w:rPr>
          <w:rFonts w:ascii="Calibri" w:hAnsi="Calibri" w:cs="Arial"/>
          <w:b/>
          <w:sz w:val="20"/>
          <w:szCs w:val="20"/>
        </w:rPr>
        <w:t xml:space="preserve"> day of September, 2015</w:t>
      </w:r>
    </w:p>
    <w:p w:rsidR="001100FD" w:rsidRDefault="001100FD"/>
    <w:sectPr w:rsidR="001100FD" w:rsidSect="0046252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FD" w:rsidRDefault="001100FD" w:rsidP="001100FD">
      <w:r>
        <w:separator/>
      </w:r>
    </w:p>
  </w:endnote>
  <w:endnote w:type="continuationSeparator" w:id="0">
    <w:p w:rsidR="001100FD" w:rsidRDefault="001100FD" w:rsidP="00110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FD" w:rsidRDefault="001100FD" w:rsidP="001100FD">
      <w:r>
        <w:separator/>
      </w:r>
    </w:p>
  </w:footnote>
  <w:footnote w:type="continuationSeparator" w:id="0">
    <w:p w:rsidR="001100FD" w:rsidRDefault="001100FD" w:rsidP="00110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FD" w:rsidRDefault="001100FD">
    <w:pPr>
      <w:pStyle w:val="Header"/>
    </w:pPr>
    <w:r>
      <w:rPr>
        <w:noProof/>
      </w:rPr>
      <w:drawing>
        <wp:inline distT="0" distB="0" distL="0" distR="0">
          <wp:extent cx="5943600" cy="781050"/>
          <wp:effectExtent l="19050" t="0" r="0" b="0"/>
          <wp:docPr id="2" name="Picture 1" descr="Town of Clarksvill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Clarksville Logo_cmyk.jpg"/>
                  <pic:cNvPicPr/>
                </pic:nvPicPr>
                <pic:blipFill>
                  <a:blip r:embed="rId1"/>
                  <a:stretch>
                    <a:fillRect/>
                  </a:stretch>
                </pic:blipFill>
                <pic:spPr>
                  <a:xfrm>
                    <a:off x="0" y="0"/>
                    <a:ext cx="5943600" cy="781050"/>
                  </a:xfrm>
                  <a:prstGeom prst="rect">
                    <a:avLst/>
                  </a:prstGeom>
                </pic:spPr>
              </pic:pic>
            </a:graphicData>
          </a:graphic>
        </wp:inline>
      </w:drawing>
    </w:r>
  </w:p>
  <w:p w:rsidR="001100FD" w:rsidRDefault="001100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100FD"/>
    <w:rsid w:val="001100FD"/>
    <w:rsid w:val="002349C3"/>
    <w:rsid w:val="0030732F"/>
    <w:rsid w:val="0046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0FD"/>
    <w:rPr>
      <w:rFonts w:ascii="Tahoma" w:hAnsi="Tahoma" w:cs="Tahoma"/>
      <w:sz w:val="16"/>
      <w:szCs w:val="16"/>
    </w:rPr>
  </w:style>
  <w:style w:type="character" w:customStyle="1" w:styleId="BalloonTextChar">
    <w:name w:val="Balloon Text Char"/>
    <w:basedOn w:val="DefaultParagraphFont"/>
    <w:link w:val="BalloonText"/>
    <w:uiPriority w:val="99"/>
    <w:semiHidden/>
    <w:rsid w:val="001100FD"/>
    <w:rPr>
      <w:rFonts w:ascii="Tahoma" w:eastAsia="Times New Roman" w:hAnsi="Tahoma" w:cs="Tahoma"/>
      <w:sz w:val="16"/>
      <w:szCs w:val="16"/>
    </w:rPr>
  </w:style>
  <w:style w:type="paragraph" w:styleId="Header">
    <w:name w:val="header"/>
    <w:basedOn w:val="Normal"/>
    <w:link w:val="HeaderChar"/>
    <w:uiPriority w:val="99"/>
    <w:unhideWhenUsed/>
    <w:rsid w:val="001100FD"/>
    <w:pPr>
      <w:tabs>
        <w:tab w:val="center" w:pos="4680"/>
        <w:tab w:val="right" w:pos="9360"/>
      </w:tabs>
    </w:pPr>
  </w:style>
  <w:style w:type="character" w:customStyle="1" w:styleId="HeaderChar">
    <w:name w:val="Header Char"/>
    <w:basedOn w:val="DefaultParagraphFont"/>
    <w:link w:val="Header"/>
    <w:uiPriority w:val="99"/>
    <w:rsid w:val="001100F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0FD"/>
    <w:pPr>
      <w:tabs>
        <w:tab w:val="center" w:pos="4680"/>
        <w:tab w:val="right" w:pos="9360"/>
      </w:tabs>
    </w:pPr>
  </w:style>
  <w:style w:type="character" w:customStyle="1" w:styleId="FooterChar">
    <w:name w:val="Footer Char"/>
    <w:basedOn w:val="DefaultParagraphFont"/>
    <w:link w:val="Footer"/>
    <w:uiPriority w:val="99"/>
    <w:semiHidden/>
    <w:rsid w:val="001100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AngelaWilliams</dc:creator>
  <cp:lastModifiedBy>AngelaWilliams</cp:lastModifiedBy>
  <cp:revision>1</cp:revision>
  <dcterms:created xsi:type="dcterms:W3CDTF">2015-10-02T13:57:00Z</dcterms:created>
  <dcterms:modified xsi:type="dcterms:W3CDTF">2015-10-02T14:06:00Z</dcterms:modified>
</cp:coreProperties>
</file>